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B3E69" w14:textId="77777777" w:rsidR="0088051A" w:rsidRDefault="000F1B75">
      <w:pPr>
        <w:jc w:val="center"/>
        <w:rPr>
          <w:rFonts w:ascii="Garamond" w:eastAsia="Garamond" w:hAnsi="Garamond" w:cs="Garamond"/>
          <w:b/>
          <w:sz w:val="30"/>
          <w:szCs w:val="30"/>
          <w:u w:val="single"/>
        </w:rPr>
      </w:pPr>
      <w:bookmarkStart w:id="0" w:name="_heading=h.ny8f813iv08v" w:colFirst="0" w:colLast="0"/>
      <w:bookmarkEnd w:id="0"/>
      <w:r>
        <w:rPr>
          <w:rFonts w:ascii="Garamond" w:eastAsia="Garamond" w:hAnsi="Garamond" w:cs="Garamond"/>
          <w:b/>
          <w:sz w:val="30"/>
          <w:szCs w:val="30"/>
          <w:u w:val="single"/>
        </w:rPr>
        <w:t>BCBA Goals of Mentorship Program</w:t>
      </w:r>
      <w:r>
        <w:rPr>
          <w:noProof/>
        </w:rPr>
        <w:drawing>
          <wp:anchor distT="0" distB="0" distL="0" distR="0" simplePos="0" relativeHeight="251658240" behindDoc="0" locked="0" layoutInCell="1" hidden="0" allowOverlap="1" wp14:anchorId="38E0EAFF" wp14:editId="27A40703">
            <wp:simplePos x="0" y="0"/>
            <wp:positionH relativeFrom="column">
              <wp:posOffset>5391150</wp:posOffset>
            </wp:positionH>
            <wp:positionV relativeFrom="paragraph">
              <wp:posOffset>0</wp:posOffset>
            </wp:positionV>
            <wp:extent cx="1028036" cy="1028036"/>
            <wp:effectExtent l="0" t="0" r="0" b="0"/>
            <wp:wrapNone/>
            <wp:docPr id="1" name="image1.jpg" descr="A picture containing text, sign&#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sign&#10;&#10;AI-generated content may be incorrect."/>
                    <pic:cNvPicPr preferRelativeResize="0"/>
                  </pic:nvPicPr>
                  <pic:blipFill>
                    <a:blip r:embed="rId8"/>
                    <a:srcRect/>
                    <a:stretch>
                      <a:fillRect/>
                    </a:stretch>
                  </pic:blipFill>
                  <pic:spPr>
                    <a:xfrm>
                      <a:off x="0" y="0"/>
                      <a:ext cx="1028036" cy="1028036"/>
                    </a:xfrm>
                    <a:prstGeom prst="rect">
                      <a:avLst/>
                    </a:prstGeom>
                    <a:ln/>
                  </pic:spPr>
                </pic:pic>
              </a:graphicData>
            </a:graphic>
          </wp:anchor>
        </w:drawing>
      </w:r>
    </w:p>
    <w:p w14:paraId="2855FFE3" w14:textId="77777777" w:rsidR="0088051A" w:rsidRDefault="0088051A">
      <w:pPr>
        <w:rPr>
          <w:rFonts w:ascii="Garamond" w:eastAsia="Garamond" w:hAnsi="Garamond" w:cs="Garamond"/>
          <w:b/>
          <w:u w:val="single"/>
        </w:rPr>
      </w:pPr>
      <w:bookmarkStart w:id="1" w:name="_heading=h.7xubdrfk2b55" w:colFirst="0" w:colLast="0"/>
      <w:bookmarkEnd w:id="1"/>
    </w:p>
    <w:p w14:paraId="064674B8" w14:textId="77777777" w:rsidR="0088051A" w:rsidRDefault="0088051A">
      <w:pPr>
        <w:rPr>
          <w:rFonts w:ascii="Garamond" w:eastAsia="Garamond" w:hAnsi="Garamond" w:cs="Garamond"/>
          <w:b/>
          <w:u w:val="single"/>
        </w:rPr>
      </w:pPr>
      <w:bookmarkStart w:id="2" w:name="_heading=h.2f3otwwlwcgp" w:colFirst="0" w:colLast="0"/>
      <w:bookmarkEnd w:id="2"/>
    </w:p>
    <w:p w14:paraId="57F874BC" w14:textId="36E68422" w:rsidR="0088051A" w:rsidRDefault="000F1B75">
      <w:pPr>
        <w:rPr>
          <w:rFonts w:ascii="Garamond" w:eastAsia="Garamond" w:hAnsi="Garamond" w:cs="Garamond"/>
          <w:b/>
          <w:u w:val="single"/>
        </w:rPr>
      </w:pPr>
      <w:bookmarkStart w:id="3" w:name="_heading=h.hflevw1oajjm" w:colFirst="0" w:colLast="0"/>
      <w:bookmarkEnd w:id="3"/>
      <w:r>
        <w:rPr>
          <w:rFonts w:ascii="Garamond" w:eastAsia="Garamond" w:hAnsi="Garamond" w:cs="Garamond"/>
          <w:b/>
          <w:u w:val="single"/>
        </w:rPr>
        <w:t>Goals of Mentor</w:t>
      </w:r>
      <w:r w:rsidR="00D51C07">
        <w:rPr>
          <w:rFonts w:ascii="Garamond" w:eastAsia="Garamond" w:hAnsi="Garamond" w:cs="Garamond"/>
          <w:b/>
          <w:u w:val="single"/>
        </w:rPr>
        <w:t>ship</w:t>
      </w:r>
      <w:r>
        <w:rPr>
          <w:rFonts w:ascii="Garamond" w:eastAsia="Garamond" w:hAnsi="Garamond" w:cs="Garamond"/>
          <w:b/>
          <w:u w:val="single"/>
        </w:rPr>
        <w:t xml:space="preserve"> Program:</w:t>
      </w:r>
    </w:p>
    <w:p w14:paraId="71A32B7B" w14:textId="77777777" w:rsidR="0088051A" w:rsidRDefault="000F1B75">
      <w:pPr>
        <w:jc w:val="both"/>
        <w:rPr>
          <w:rFonts w:ascii="Garamond" w:eastAsia="Garamond" w:hAnsi="Garamond" w:cs="Garamond"/>
        </w:rPr>
      </w:pPr>
      <w:r>
        <w:rPr>
          <w:rFonts w:ascii="Garamond" w:eastAsia="Garamond" w:hAnsi="Garamond" w:cs="Garamond"/>
        </w:rPr>
        <w:t>To provide professional guidance and counsel to assist the Mentee in acquiring the practical skills, judgment, and professional values necessary to practice law in a highly competent manner.</w:t>
      </w:r>
    </w:p>
    <w:p w14:paraId="1BC81010" w14:textId="77777777" w:rsidR="0088051A" w:rsidRDefault="000F1B75">
      <w:pPr>
        <w:jc w:val="both"/>
        <w:rPr>
          <w:rFonts w:ascii="Garamond" w:eastAsia="Garamond" w:hAnsi="Garamond" w:cs="Garamond"/>
        </w:rPr>
      </w:pPr>
      <w:r>
        <w:rPr>
          <w:rFonts w:ascii="Garamond" w:eastAsia="Garamond" w:hAnsi="Garamond" w:cs="Garamond"/>
        </w:rPr>
        <w:t xml:space="preserve">Mentorship will afford the mentees meaningful access to an experienced lawyer mentor equipped to teach practical skills, seasoned judgment, and sensitivity to ethical and professional values that represent the best traditions and high aspirations of the legal profession. </w:t>
      </w:r>
    </w:p>
    <w:p w14:paraId="651CEB62" w14:textId="77777777" w:rsidR="0088051A" w:rsidRDefault="000F1B75">
      <w:pPr>
        <w:jc w:val="both"/>
        <w:rPr>
          <w:rFonts w:ascii="Garamond" w:eastAsia="Garamond" w:hAnsi="Garamond" w:cs="Garamond"/>
          <w:b/>
          <w:u w:val="single"/>
        </w:rPr>
      </w:pPr>
      <w:r>
        <w:rPr>
          <w:rFonts w:ascii="Garamond" w:eastAsia="Garamond" w:hAnsi="Garamond" w:cs="Garamond"/>
          <w:b/>
          <w:u w:val="single"/>
        </w:rPr>
        <w:t>The Mentoring Plan:</w:t>
      </w:r>
    </w:p>
    <w:p w14:paraId="217F09F0" w14:textId="77777777" w:rsidR="0088051A" w:rsidRDefault="000F1B75">
      <w:pPr>
        <w:jc w:val="both"/>
        <w:rPr>
          <w:rFonts w:ascii="Garamond" w:eastAsia="Garamond" w:hAnsi="Garamond" w:cs="Garamond"/>
        </w:rPr>
      </w:pPr>
      <w:r>
        <w:rPr>
          <w:rFonts w:ascii="Garamond" w:eastAsia="Garamond" w:hAnsi="Garamond" w:cs="Garamond"/>
        </w:rPr>
        <w:t xml:space="preserve">Although great flexibility in designing each </w:t>
      </w:r>
      <w:proofErr w:type="gramStart"/>
      <w:r>
        <w:rPr>
          <w:rFonts w:ascii="Garamond" w:eastAsia="Garamond" w:hAnsi="Garamond" w:cs="Garamond"/>
        </w:rPr>
        <w:t>particular plan</w:t>
      </w:r>
      <w:proofErr w:type="gramEnd"/>
      <w:r>
        <w:rPr>
          <w:rFonts w:ascii="Garamond" w:eastAsia="Garamond" w:hAnsi="Garamond" w:cs="Garamond"/>
        </w:rPr>
        <w:t xml:space="preserve"> is warranted, the plan should foster discussion and implementation of professional skills and values. At a minimum, the Mentoring Plan should include the following key elements:</w:t>
      </w:r>
    </w:p>
    <w:p w14:paraId="21ACEEEB" w14:textId="77777777" w:rsidR="0088051A" w:rsidRDefault="000F1B75">
      <w:pPr>
        <w:numPr>
          <w:ilvl w:val="0"/>
          <w:numId w:val="1"/>
        </w:numPr>
        <w:pBdr>
          <w:top w:val="nil"/>
          <w:left w:val="nil"/>
          <w:bottom w:val="nil"/>
          <w:right w:val="nil"/>
          <w:between w:val="nil"/>
        </w:pBdr>
        <w:spacing w:after="0"/>
        <w:jc w:val="both"/>
        <w:rPr>
          <w:rFonts w:ascii="Garamond" w:eastAsia="Garamond" w:hAnsi="Garamond" w:cs="Garamond"/>
          <w:color w:val="000000"/>
        </w:rPr>
      </w:pPr>
      <w:r>
        <w:rPr>
          <w:rFonts w:ascii="Garamond" w:eastAsia="Garamond" w:hAnsi="Garamond" w:cs="Garamond"/>
          <w:color w:val="000000"/>
        </w:rPr>
        <w:t>Regular contact and meetings between the Mentor and Mentee.</w:t>
      </w:r>
    </w:p>
    <w:p w14:paraId="02565FBA" w14:textId="77777777" w:rsidR="0088051A" w:rsidRDefault="000F1B75">
      <w:pPr>
        <w:numPr>
          <w:ilvl w:val="0"/>
          <w:numId w:val="1"/>
        </w:numPr>
        <w:pBdr>
          <w:top w:val="nil"/>
          <w:left w:val="nil"/>
          <w:bottom w:val="nil"/>
          <w:right w:val="nil"/>
          <w:between w:val="nil"/>
        </w:pBdr>
        <w:spacing w:after="0"/>
        <w:jc w:val="both"/>
        <w:rPr>
          <w:rFonts w:ascii="Garamond" w:eastAsia="Garamond" w:hAnsi="Garamond" w:cs="Garamond"/>
          <w:color w:val="000000"/>
        </w:rPr>
      </w:pPr>
      <w:r>
        <w:rPr>
          <w:rFonts w:ascii="Garamond" w:eastAsia="Garamond" w:hAnsi="Garamond" w:cs="Garamond"/>
          <w:color w:val="000000"/>
        </w:rPr>
        <w:t>Continuing discussions between the Mentor and Mentee on at least the following topics:</w:t>
      </w:r>
    </w:p>
    <w:p w14:paraId="46A31872" w14:textId="77777777" w:rsidR="0088051A" w:rsidRDefault="000F1B75">
      <w:pPr>
        <w:pBdr>
          <w:top w:val="nil"/>
          <w:left w:val="nil"/>
          <w:bottom w:val="nil"/>
          <w:right w:val="nil"/>
          <w:between w:val="nil"/>
        </w:pBdr>
        <w:spacing w:after="0"/>
        <w:ind w:left="720"/>
        <w:jc w:val="both"/>
        <w:rPr>
          <w:rFonts w:ascii="Garamond" w:eastAsia="Garamond" w:hAnsi="Garamond" w:cs="Garamond"/>
          <w:color w:val="000000"/>
        </w:rPr>
      </w:pPr>
      <w:r>
        <w:rPr>
          <w:rFonts w:ascii="Garamond" w:eastAsia="Garamond" w:hAnsi="Garamond" w:cs="Garamond"/>
          <w:color w:val="000000"/>
        </w:rPr>
        <w:t>(i). Ethics and professionalism.</w:t>
      </w:r>
    </w:p>
    <w:p w14:paraId="79ED97E4" w14:textId="77777777" w:rsidR="0088051A" w:rsidRDefault="000F1B75">
      <w:pPr>
        <w:pBdr>
          <w:top w:val="nil"/>
          <w:left w:val="nil"/>
          <w:bottom w:val="nil"/>
          <w:right w:val="nil"/>
          <w:between w:val="nil"/>
        </w:pBdr>
        <w:spacing w:after="0"/>
        <w:ind w:left="720"/>
        <w:jc w:val="both"/>
        <w:rPr>
          <w:rFonts w:ascii="Garamond" w:eastAsia="Garamond" w:hAnsi="Garamond" w:cs="Garamond"/>
          <w:color w:val="000000"/>
        </w:rPr>
      </w:pPr>
      <w:r>
        <w:rPr>
          <w:rFonts w:ascii="Garamond" w:eastAsia="Garamond" w:hAnsi="Garamond" w:cs="Garamond"/>
          <w:color w:val="000000"/>
        </w:rPr>
        <w:t>(ii). Relationships with clients, other lawyers (both in and outside the firm), the judiciary and the public, including unrepresented parties.</w:t>
      </w:r>
    </w:p>
    <w:p w14:paraId="2AE90BCD" w14:textId="77777777" w:rsidR="0088051A" w:rsidRDefault="000F1B75">
      <w:pPr>
        <w:pBdr>
          <w:top w:val="nil"/>
          <w:left w:val="nil"/>
          <w:bottom w:val="nil"/>
          <w:right w:val="nil"/>
          <w:between w:val="nil"/>
        </w:pBdr>
        <w:spacing w:after="0"/>
        <w:ind w:left="720"/>
        <w:jc w:val="both"/>
        <w:rPr>
          <w:rFonts w:ascii="Garamond" w:eastAsia="Garamond" w:hAnsi="Garamond" w:cs="Garamond"/>
          <w:color w:val="000000"/>
        </w:rPr>
      </w:pPr>
      <w:r>
        <w:rPr>
          <w:rFonts w:ascii="Garamond" w:eastAsia="Garamond" w:hAnsi="Garamond" w:cs="Garamond"/>
          <w:color w:val="000000"/>
        </w:rPr>
        <w:t xml:space="preserve">(iii). Professional work habits, organizational skills, and practice management. </w:t>
      </w:r>
    </w:p>
    <w:p w14:paraId="4976889F" w14:textId="77777777" w:rsidR="0088051A" w:rsidRDefault="000F1B75">
      <w:pPr>
        <w:pBdr>
          <w:top w:val="nil"/>
          <w:left w:val="nil"/>
          <w:bottom w:val="nil"/>
          <w:right w:val="nil"/>
          <w:between w:val="nil"/>
        </w:pBdr>
        <w:spacing w:after="0"/>
        <w:ind w:left="720"/>
        <w:jc w:val="both"/>
        <w:rPr>
          <w:rFonts w:ascii="Garamond" w:eastAsia="Garamond" w:hAnsi="Garamond" w:cs="Garamond"/>
          <w:color w:val="000000"/>
        </w:rPr>
      </w:pPr>
      <w:r>
        <w:rPr>
          <w:rFonts w:ascii="Garamond" w:eastAsia="Garamond" w:hAnsi="Garamond" w:cs="Garamond"/>
          <w:color w:val="000000"/>
        </w:rPr>
        <w:t xml:space="preserve">(iv). Economics of practicing law in the relevant practice setting. </w:t>
      </w:r>
    </w:p>
    <w:p w14:paraId="63640ABC" w14:textId="77777777" w:rsidR="0088051A" w:rsidRDefault="000F1B75">
      <w:pPr>
        <w:pBdr>
          <w:top w:val="nil"/>
          <w:left w:val="nil"/>
          <w:bottom w:val="nil"/>
          <w:right w:val="nil"/>
          <w:between w:val="nil"/>
        </w:pBdr>
        <w:ind w:left="720"/>
        <w:jc w:val="both"/>
        <w:rPr>
          <w:rFonts w:ascii="Garamond" w:eastAsia="Garamond" w:hAnsi="Garamond" w:cs="Garamond"/>
          <w:color w:val="000000"/>
        </w:rPr>
      </w:pPr>
      <w:r>
        <w:rPr>
          <w:rFonts w:ascii="Garamond" w:eastAsia="Garamond" w:hAnsi="Garamond" w:cs="Garamond"/>
          <w:color w:val="000000"/>
        </w:rPr>
        <w:t>(v). Responsibility and opportunities for pro bono work, bar activities, and community service.</w:t>
      </w:r>
    </w:p>
    <w:p w14:paraId="0FFCB95F" w14:textId="77777777" w:rsidR="0088051A" w:rsidRDefault="000F1B75">
      <w:pPr>
        <w:ind w:left="720" w:hanging="360"/>
        <w:jc w:val="both"/>
        <w:rPr>
          <w:rFonts w:ascii="Garamond" w:eastAsia="Garamond" w:hAnsi="Garamond" w:cs="Garamond"/>
        </w:rPr>
      </w:pPr>
      <w:r>
        <w:rPr>
          <w:rFonts w:ascii="Garamond" w:eastAsia="Garamond" w:hAnsi="Garamond" w:cs="Garamond"/>
        </w:rPr>
        <w:t>C.  Introduction to the local legal community.</w:t>
      </w:r>
    </w:p>
    <w:p w14:paraId="6D603AA4" w14:textId="77777777" w:rsidR="0088051A" w:rsidRDefault="000F1B75">
      <w:pPr>
        <w:ind w:left="720" w:hanging="360"/>
        <w:jc w:val="both"/>
        <w:rPr>
          <w:rFonts w:ascii="Garamond" w:eastAsia="Garamond" w:hAnsi="Garamond" w:cs="Garamond"/>
        </w:rPr>
      </w:pPr>
      <w:r>
        <w:rPr>
          <w:rFonts w:ascii="Garamond" w:eastAsia="Garamond" w:hAnsi="Garamond" w:cs="Garamond"/>
        </w:rPr>
        <w:t>D.  Specific planning for professional development and continuing legal education.</w:t>
      </w:r>
    </w:p>
    <w:p w14:paraId="1FB68A36" w14:textId="77777777" w:rsidR="0088051A" w:rsidRDefault="000F1B75">
      <w:pPr>
        <w:ind w:left="720" w:hanging="360"/>
        <w:jc w:val="both"/>
        <w:rPr>
          <w:rFonts w:ascii="Garamond" w:eastAsia="Garamond" w:hAnsi="Garamond" w:cs="Garamond"/>
        </w:rPr>
      </w:pPr>
      <w:r>
        <w:rPr>
          <w:rFonts w:ascii="Garamond" w:eastAsia="Garamond" w:hAnsi="Garamond" w:cs="Garamond"/>
        </w:rPr>
        <w:t xml:space="preserve">E.  Periodic evaluation of the Mentor-Mentee relationship. </w:t>
      </w:r>
    </w:p>
    <w:sectPr w:rsidR="008805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71E88" w14:textId="77777777" w:rsidR="000F1B75" w:rsidRDefault="000F1B75">
      <w:pPr>
        <w:spacing w:after="0" w:line="240" w:lineRule="auto"/>
      </w:pPr>
      <w:r>
        <w:separator/>
      </w:r>
    </w:p>
  </w:endnote>
  <w:endnote w:type="continuationSeparator" w:id="0">
    <w:p w14:paraId="6EB5FC15" w14:textId="77777777" w:rsidR="000F1B75" w:rsidRDefault="000F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04B300C9-0F06-47CE-B6CC-402DF02E49F6}"/>
    <w:embedItalic r:id="rId2" w:fontKey="{D66192D7-884E-40B0-999F-869BAF2CB67E}"/>
  </w:font>
  <w:font w:name="Aptos Display">
    <w:charset w:val="00"/>
    <w:family w:val="swiss"/>
    <w:pitch w:val="variable"/>
    <w:sig w:usb0="20000287" w:usb1="00000003" w:usb2="00000000" w:usb3="00000000" w:csb0="0000019F" w:csb1="00000000"/>
    <w:embedRegular r:id="rId3" w:fontKey="{B3B40F70-34A0-4765-9D95-C37796466935}"/>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embedRegular r:id="rId4" w:fontKey="{31D46933-60D3-48D1-BCC4-42C0FB57B42D}"/>
    <w:embedBold r:id="rId5" w:fontKey="{8D3CD318-12FB-4491-9411-154A35B0586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68376" w14:textId="77777777" w:rsidR="000F1B75" w:rsidRDefault="000F1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A1A01" w14:textId="1EE1174C" w:rsidR="0088051A" w:rsidRDefault="0088051A">
    <w:pPr>
      <w:jc w:val="center"/>
      <w:rPr>
        <w:rFonts w:ascii="Garamond" w:eastAsia="Garamond" w:hAnsi="Garamond" w:cs="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DC7EC" w14:textId="77777777" w:rsidR="000F1B75" w:rsidRDefault="000F1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BD764" w14:textId="77777777" w:rsidR="000F1B75" w:rsidRDefault="000F1B75">
      <w:pPr>
        <w:spacing w:after="0" w:line="240" w:lineRule="auto"/>
      </w:pPr>
      <w:r>
        <w:separator/>
      </w:r>
    </w:p>
  </w:footnote>
  <w:footnote w:type="continuationSeparator" w:id="0">
    <w:p w14:paraId="06D5C2D9" w14:textId="77777777" w:rsidR="000F1B75" w:rsidRDefault="000F1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13F1" w14:textId="77777777" w:rsidR="000F1B75" w:rsidRDefault="000F1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7B03" w14:textId="77777777" w:rsidR="0088051A" w:rsidRDefault="008805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1C786" w14:textId="77777777" w:rsidR="000F1B75" w:rsidRDefault="000F1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41771"/>
    <w:multiLevelType w:val="multilevel"/>
    <w:tmpl w:val="FAFC5A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7489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51A"/>
    <w:rsid w:val="000F1B75"/>
    <w:rsid w:val="00575609"/>
    <w:rsid w:val="00600A88"/>
    <w:rsid w:val="0088051A"/>
    <w:rsid w:val="00D5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C9F9"/>
  <w15:docId w15:val="{ECB262EA-FE87-4558-B133-19BAE212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5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C5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D4F"/>
    <w:rPr>
      <w:rFonts w:eastAsiaTheme="majorEastAsia" w:cstheme="majorBidi"/>
      <w:color w:val="272727" w:themeColor="text1" w:themeTint="D8"/>
    </w:rPr>
  </w:style>
  <w:style w:type="character" w:customStyle="1" w:styleId="TitleChar">
    <w:name w:val="Title Char"/>
    <w:basedOn w:val="DefaultParagraphFont"/>
    <w:link w:val="Title"/>
    <w:uiPriority w:val="10"/>
    <w:rsid w:val="001C5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C5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D4F"/>
    <w:pPr>
      <w:spacing w:before="160"/>
      <w:jc w:val="center"/>
    </w:pPr>
    <w:rPr>
      <w:i/>
      <w:iCs/>
      <w:color w:val="404040" w:themeColor="text1" w:themeTint="BF"/>
    </w:rPr>
  </w:style>
  <w:style w:type="character" w:customStyle="1" w:styleId="QuoteChar">
    <w:name w:val="Quote Char"/>
    <w:basedOn w:val="DefaultParagraphFont"/>
    <w:link w:val="Quote"/>
    <w:uiPriority w:val="29"/>
    <w:rsid w:val="001C5D4F"/>
    <w:rPr>
      <w:i/>
      <w:iCs/>
      <w:color w:val="404040" w:themeColor="text1" w:themeTint="BF"/>
    </w:rPr>
  </w:style>
  <w:style w:type="paragraph" w:styleId="ListParagraph">
    <w:name w:val="List Paragraph"/>
    <w:basedOn w:val="Normal"/>
    <w:uiPriority w:val="34"/>
    <w:qFormat/>
    <w:rsid w:val="001C5D4F"/>
    <w:pPr>
      <w:ind w:left="720"/>
      <w:contextualSpacing/>
    </w:pPr>
  </w:style>
  <w:style w:type="character" w:styleId="IntenseEmphasis">
    <w:name w:val="Intense Emphasis"/>
    <w:basedOn w:val="DefaultParagraphFont"/>
    <w:uiPriority w:val="21"/>
    <w:qFormat/>
    <w:rsid w:val="001C5D4F"/>
    <w:rPr>
      <w:i/>
      <w:iCs/>
      <w:color w:val="0F4761" w:themeColor="accent1" w:themeShade="BF"/>
    </w:rPr>
  </w:style>
  <w:style w:type="paragraph" w:styleId="IntenseQuote">
    <w:name w:val="Intense Quote"/>
    <w:basedOn w:val="Normal"/>
    <w:next w:val="Normal"/>
    <w:link w:val="IntenseQuoteChar"/>
    <w:uiPriority w:val="30"/>
    <w:qFormat/>
    <w:rsid w:val="001C5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D4F"/>
    <w:rPr>
      <w:i/>
      <w:iCs/>
      <w:color w:val="0F4761" w:themeColor="accent1" w:themeShade="BF"/>
    </w:rPr>
  </w:style>
  <w:style w:type="character" w:styleId="IntenseReference">
    <w:name w:val="Intense Reference"/>
    <w:basedOn w:val="DefaultParagraphFont"/>
    <w:uiPriority w:val="32"/>
    <w:qFormat/>
    <w:rsid w:val="001C5D4F"/>
    <w:rPr>
      <w:b/>
      <w:bCs/>
      <w:smallCaps/>
      <w:color w:val="0F4761" w:themeColor="accent1" w:themeShade="BF"/>
      <w:spacing w:val="5"/>
    </w:rPr>
  </w:style>
  <w:style w:type="paragraph" w:styleId="Header">
    <w:name w:val="header"/>
    <w:basedOn w:val="Normal"/>
    <w:link w:val="HeaderChar"/>
    <w:uiPriority w:val="99"/>
    <w:unhideWhenUsed/>
    <w:rsid w:val="000F1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B75"/>
  </w:style>
  <w:style w:type="paragraph" w:styleId="Footer">
    <w:name w:val="footer"/>
    <w:basedOn w:val="Normal"/>
    <w:link w:val="FooterChar"/>
    <w:uiPriority w:val="99"/>
    <w:unhideWhenUsed/>
    <w:rsid w:val="000F1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1fSnrp9e0/1Q889dsdhD4zkhOA==">CgMxLjAyDmgubnk4ZjgxM2l2MDh2Mg5oLjd4dWJkcmZrMmI1NTIOaC4yZjNvdHd3bHdjZ3AyDmguaGZsZXZ3MW9hamptOAByITFtWkljc0VRZ0JOUWl1TzRNaklxOGlkaTEwQ0w1dlNrZQ==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0CE6E7C5AD856449099F06A5EEC54DB" ma:contentTypeVersion="19" ma:contentTypeDescription="Create a new document." ma:contentTypeScope="" ma:versionID="348fdaf8860b4a88684874feb0cb213d">
  <xsd:schema xmlns:xsd="http://www.w3.org/2001/XMLSchema" xmlns:xs="http://www.w3.org/2001/XMLSchema" xmlns:p="http://schemas.microsoft.com/office/2006/metadata/properties" xmlns:ns2="5ed82ef2-694f-4154-86cd-0e7784debac5" xmlns:ns3="27db26df-6a63-4fb8-affc-dc506aa3a74e" targetNamespace="http://schemas.microsoft.com/office/2006/metadata/properties" ma:root="true" ma:fieldsID="ffeda971411e4d93ba902adcfba92f3c" ns2:_="" ns3:_="">
    <xsd:import namespace="5ed82ef2-694f-4154-86cd-0e7784debac5"/>
    <xsd:import namespace="27db26df-6a63-4fb8-affc-dc506aa3a7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82ef2-694f-4154-86cd-0e7784deb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3d4b9-14e8-4b69-8531-7a17052da7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b26df-6a63-4fb8-affc-dc506aa3a7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e7db8e-c13a-40dd-810c-5978cc6ae66b}" ma:internalName="TaxCatchAll" ma:showField="CatchAllData" ma:web="27db26df-6a63-4fb8-affc-dc506aa3a7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db26df-6a63-4fb8-affc-dc506aa3a74e" xsi:nil="true"/>
    <lcf76f155ced4ddcb4097134ff3c332f xmlns="5ed82ef2-694f-4154-86cd-0e7784deba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175402A-3FC1-4D18-9CA6-0B113A1994EF}"/>
</file>

<file path=customXml/itemProps3.xml><?xml version="1.0" encoding="utf-8"?>
<ds:datastoreItem xmlns:ds="http://schemas.openxmlformats.org/officeDocument/2006/customXml" ds:itemID="{79BA0FCC-6F4B-4A7B-B486-159C8C08A6E3}"/>
</file>

<file path=customXml/itemProps4.xml><?xml version="1.0" encoding="utf-8"?>
<ds:datastoreItem xmlns:ds="http://schemas.openxmlformats.org/officeDocument/2006/customXml" ds:itemID="{75FA436A-4D86-4896-ABED-F1B1732ABE41}"/>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Billen, Livia M.</dc:creator>
  <cp:lastModifiedBy>Kelly Mott</cp:lastModifiedBy>
  <cp:revision>2</cp:revision>
  <dcterms:created xsi:type="dcterms:W3CDTF">2025-08-06T17:49:00Z</dcterms:created>
  <dcterms:modified xsi:type="dcterms:W3CDTF">2025-08-06T17:49:00Z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558cd187-ff9f-4632-ac8a-d884bc2fa439</vt:lpwstr>
  </property>
  <property fmtid="{D5CDD505-2E9C-101B-9397-08002B2CF9AE}" pid="3" name="ContentTypeId">
    <vt:lpwstr>0x01010010CE6E7C5AD856449099F06A5EEC54DB</vt:lpwstr>
  </property>
</Properties>
</file>